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21AC" w14:textId="77777777" w:rsidR="00002B05" w:rsidRDefault="00002B05" w:rsidP="00002B05">
      <w:pPr>
        <w:pStyle w:val="Heading1"/>
      </w:pPr>
      <w:r>
        <w:rPr>
          <w:noProof/>
        </w:rPr>
        <w:drawing>
          <wp:inline distT="0" distB="0" distL="0" distR="0" wp14:anchorId="62CE26B2" wp14:editId="4EEB8ACF">
            <wp:extent cx="1390650" cy="726148"/>
            <wp:effectExtent l="0" t="0" r="0" b="0"/>
            <wp:docPr id="1825918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541" cy="733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AC4AD" w14:textId="126050D1" w:rsidR="00884C3E" w:rsidRPr="00804F84" w:rsidRDefault="00356C43" w:rsidP="00804F84">
      <w:pPr>
        <w:pStyle w:val="Title"/>
        <w:jc w:val="center"/>
        <w:rPr>
          <w:b/>
          <w:bCs/>
        </w:rPr>
      </w:pPr>
      <w:r>
        <w:rPr>
          <w:b/>
          <w:bCs/>
        </w:rPr>
        <w:t>Authorize.Net</w:t>
      </w:r>
    </w:p>
    <w:p w14:paraId="3F971840" w14:textId="5EFFE639" w:rsidR="00002B05" w:rsidRDefault="00002B05"/>
    <w:tbl>
      <w:tblPr>
        <w:tblStyle w:val="MediumShading2-Accent5"/>
        <w:tblW w:w="5292" w:type="pct"/>
        <w:tblInd w:w="-270" w:type="dxa"/>
        <w:tblLayout w:type="fixed"/>
        <w:tblLook w:val="0660" w:firstRow="1" w:lastRow="1" w:firstColumn="0" w:lastColumn="0" w:noHBand="1" w:noVBand="1"/>
      </w:tblPr>
      <w:tblGrid>
        <w:gridCol w:w="3150"/>
        <w:gridCol w:w="4591"/>
        <w:gridCol w:w="3690"/>
      </w:tblGrid>
      <w:tr w:rsidR="00804F84" w14:paraId="5BF65452" w14:textId="77777777" w:rsidTr="00AF3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78" w:type="pct"/>
            <w:tcBorders>
              <w:top w:val="single" w:sz="24" w:space="0" w:color="auto"/>
              <w:bottom w:val="single" w:sz="24" w:space="0" w:color="auto"/>
            </w:tcBorders>
            <w:noWrap/>
          </w:tcPr>
          <w:p w14:paraId="5C48AFF7" w14:textId="77777777" w:rsidR="00804F84" w:rsidRPr="00804F84" w:rsidRDefault="00804F84" w:rsidP="00583BFF">
            <w:pPr>
              <w:jc w:val="center"/>
            </w:pPr>
            <w:r w:rsidRPr="00804F84">
              <w:t>Product</w:t>
            </w:r>
          </w:p>
        </w:tc>
        <w:tc>
          <w:tcPr>
            <w:tcW w:w="2008" w:type="pct"/>
            <w:tcBorders>
              <w:top w:val="single" w:sz="24" w:space="0" w:color="auto"/>
              <w:bottom w:val="single" w:sz="24" w:space="0" w:color="auto"/>
            </w:tcBorders>
          </w:tcPr>
          <w:p w14:paraId="6B937849" w14:textId="77777777" w:rsidR="00804F84" w:rsidRPr="00804F84" w:rsidRDefault="00804F84" w:rsidP="00583BFF">
            <w:pPr>
              <w:jc w:val="center"/>
            </w:pPr>
            <w:r w:rsidRPr="00804F84">
              <w:t>Description</w:t>
            </w:r>
          </w:p>
        </w:tc>
        <w:tc>
          <w:tcPr>
            <w:tcW w:w="1614" w:type="pct"/>
            <w:tcBorders>
              <w:top w:val="single" w:sz="24" w:space="0" w:color="auto"/>
              <w:bottom w:val="single" w:sz="24" w:space="0" w:color="auto"/>
            </w:tcBorders>
          </w:tcPr>
          <w:p w14:paraId="137A7565" w14:textId="77777777" w:rsidR="00804F84" w:rsidRDefault="00804F84" w:rsidP="00583BFF">
            <w:pPr>
              <w:jc w:val="center"/>
            </w:pPr>
            <w:r w:rsidRPr="00804F84">
              <w:t>Price</w:t>
            </w:r>
          </w:p>
        </w:tc>
      </w:tr>
      <w:tr w:rsidR="00804F84" w14:paraId="46F91287" w14:textId="77777777" w:rsidTr="00AF3B02">
        <w:tc>
          <w:tcPr>
            <w:tcW w:w="1378" w:type="pct"/>
            <w:tcBorders>
              <w:top w:val="single" w:sz="24" w:space="0" w:color="auto"/>
            </w:tcBorders>
            <w:noWrap/>
          </w:tcPr>
          <w:p w14:paraId="44EAFFAF" w14:textId="77777777" w:rsidR="00804F84" w:rsidRPr="00804F84" w:rsidRDefault="00804F84" w:rsidP="00153842"/>
        </w:tc>
        <w:tc>
          <w:tcPr>
            <w:tcW w:w="2008" w:type="pct"/>
            <w:tcBorders>
              <w:top w:val="single" w:sz="24" w:space="0" w:color="auto"/>
            </w:tcBorders>
          </w:tcPr>
          <w:p w14:paraId="065FC3D4" w14:textId="77777777" w:rsidR="00804F84" w:rsidRPr="00804F84" w:rsidRDefault="00804F84" w:rsidP="00551DAB"/>
        </w:tc>
        <w:tc>
          <w:tcPr>
            <w:tcW w:w="1614" w:type="pct"/>
            <w:tcBorders>
              <w:top w:val="single" w:sz="24" w:space="0" w:color="auto"/>
            </w:tcBorders>
          </w:tcPr>
          <w:p w14:paraId="22E85B08" w14:textId="77777777" w:rsidR="00804F84" w:rsidRPr="00804F84" w:rsidRDefault="00804F84" w:rsidP="00153842"/>
        </w:tc>
      </w:tr>
      <w:tr w:rsidR="00551DAB" w14:paraId="44F645B6" w14:textId="77777777" w:rsidTr="00AF3B02">
        <w:tc>
          <w:tcPr>
            <w:tcW w:w="1378" w:type="pct"/>
            <w:noWrap/>
          </w:tcPr>
          <w:p w14:paraId="142B26AC" w14:textId="6C0C1741" w:rsidR="000A1D6D" w:rsidRDefault="000A1D6D" w:rsidP="00153842">
            <w:pPr>
              <w:pStyle w:val="Quote"/>
            </w:pPr>
            <w:r>
              <w:t>Virtual Terminal</w:t>
            </w:r>
          </w:p>
        </w:tc>
        <w:tc>
          <w:tcPr>
            <w:tcW w:w="2008" w:type="pct"/>
          </w:tcPr>
          <w:p w14:paraId="56776076" w14:textId="7CAE9E26" w:rsidR="000A1D6D" w:rsidRDefault="000A1D6D" w:rsidP="00551DAB">
            <w:pPr>
              <w:pStyle w:val="Quote"/>
              <w:rPr>
                <w:rStyle w:val="SubtleEmphasis"/>
              </w:rPr>
            </w:pPr>
            <w:r>
              <w:t xml:space="preserve">Swipe or </w:t>
            </w:r>
            <w:r w:rsidR="003C31A7">
              <w:t>Hand k</w:t>
            </w:r>
            <w:r>
              <w:t>ey transactions online.</w:t>
            </w:r>
          </w:p>
        </w:tc>
        <w:tc>
          <w:tcPr>
            <w:tcW w:w="1614" w:type="pct"/>
          </w:tcPr>
          <w:p w14:paraId="3CBC6FC0" w14:textId="13561902" w:rsidR="003C31A7" w:rsidRPr="003C31A7" w:rsidRDefault="00153842" w:rsidP="003C31A7">
            <w:pPr>
              <w:pStyle w:val="Quote"/>
            </w:pPr>
            <w:r>
              <w:t>$</w:t>
            </w:r>
            <w:r w:rsidR="00356C43">
              <w:t>15</w:t>
            </w:r>
            <w:r w:rsidR="000A1D6D">
              <w:t xml:space="preserve">/mo </w:t>
            </w:r>
            <w:r w:rsidR="00356C43">
              <w:t xml:space="preserve">&amp; </w:t>
            </w:r>
            <w:r w:rsidR="000A1D6D">
              <w:t xml:space="preserve"> </w:t>
            </w:r>
            <w:r w:rsidR="00356C43">
              <w:t>5</w:t>
            </w:r>
            <w:r>
              <w:t>¢/item</w:t>
            </w:r>
            <w:r w:rsidR="00356C43">
              <w:t xml:space="preserve"> &amp; 5¢/batch</w:t>
            </w:r>
          </w:p>
        </w:tc>
      </w:tr>
      <w:tr w:rsidR="00813538" w14:paraId="61F0DE04" w14:textId="77777777" w:rsidTr="00AF3B02">
        <w:tc>
          <w:tcPr>
            <w:tcW w:w="1378" w:type="pct"/>
            <w:noWrap/>
          </w:tcPr>
          <w:p w14:paraId="4EDC4D56" w14:textId="59A4085C" w:rsidR="00813538" w:rsidRDefault="00813538" w:rsidP="00153842">
            <w:pPr>
              <w:pStyle w:val="Quote"/>
            </w:pPr>
            <w:r>
              <w:t>Virtual Terminal Swiper</w:t>
            </w:r>
          </w:p>
        </w:tc>
        <w:tc>
          <w:tcPr>
            <w:tcW w:w="2008" w:type="pct"/>
          </w:tcPr>
          <w:p w14:paraId="748FBBD9" w14:textId="2A606410" w:rsidR="00813538" w:rsidRDefault="00813538" w:rsidP="00551DAB">
            <w:pPr>
              <w:pStyle w:val="Quote"/>
            </w:pPr>
            <w:proofErr w:type="gramStart"/>
            <w:r>
              <w:t>Merchant</w:t>
            </w:r>
            <w:proofErr w:type="gramEnd"/>
            <w:r>
              <w:t xml:space="preserve"> can purchase and connect a swiper which gets them better processing rates. </w:t>
            </w:r>
          </w:p>
        </w:tc>
        <w:tc>
          <w:tcPr>
            <w:tcW w:w="1614" w:type="pct"/>
          </w:tcPr>
          <w:p w14:paraId="49266B58" w14:textId="11BC67C7" w:rsidR="00813538" w:rsidRDefault="006B0F90" w:rsidP="003C31A7">
            <w:pPr>
              <w:pStyle w:val="Quote"/>
            </w:pPr>
            <w:r>
              <w:t>Contact VMS for pricing.</w:t>
            </w:r>
          </w:p>
        </w:tc>
      </w:tr>
      <w:tr w:rsidR="003C31A7" w14:paraId="311C64D1" w14:textId="77777777" w:rsidTr="00AF3B02">
        <w:tc>
          <w:tcPr>
            <w:tcW w:w="1378" w:type="pct"/>
            <w:noWrap/>
          </w:tcPr>
          <w:p w14:paraId="048542E9" w14:textId="05E0F18E" w:rsidR="003C31A7" w:rsidRDefault="003C31A7" w:rsidP="00153842">
            <w:pPr>
              <w:pStyle w:val="Quote"/>
            </w:pPr>
            <w:r>
              <w:t>Gateway</w:t>
            </w:r>
          </w:p>
        </w:tc>
        <w:tc>
          <w:tcPr>
            <w:tcW w:w="2008" w:type="pct"/>
          </w:tcPr>
          <w:p w14:paraId="0764A829" w14:textId="0A0AE27A" w:rsidR="003C31A7" w:rsidRDefault="009D4F12" w:rsidP="00551DAB">
            <w:pPr>
              <w:pStyle w:val="Quote"/>
            </w:pPr>
            <w:r>
              <w:t xml:space="preserve">Acts as middleware to connect a third-party POS system.                         </w:t>
            </w:r>
          </w:p>
        </w:tc>
        <w:tc>
          <w:tcPr>
            <w:tcW w:w="1614" w:type="pct"/>
          </w:tcPr>
          <w:p w14:paraId="3B93D342" w14:textId="4662D4F4" w:rsidR="003C31A7" w:rsidRPr="003C31A7" w:rsidRDefault="003C31A7" w:rsidP="003C31A7">
            <w:pPr>
              <w:pStyle w:val="Quote"/>
            </w:pPr>
          </w:p>
        </w:tc>
      </w:tr>
      <w:tr w:rsidR="003C31A7" w14:paraId="4E512979" w14:textId="77777777" w:rsidTr="00AF3B02">
        <w:tc>
          <w:tcPr>
            <w:tcW w:w="1378" w:type="pct"/>
            <w:noWrap/>
          </w:tcPr>
          <w:p w14:paraId="1C0341F0" w14:textId="3C25C23E" w:rsidR="003C31A7" w:rsidRDefault="003C31A7" w:rsidP="00153842">
            <w:pPr>
              <w:pStyle w:val="Quote"/>
            </w:pPr>
            <w:r>
              <w:t>Reporting</w:t>
            </w:r>
          </w:p>
        </w:tc>
        <w:tc>
          <w:tcPr>
            <w:tcW w:w="2008" w:type="pct"/>
          </w:tcPr>
          <w:p w14:paraId="44054378" w14:textId="5816E3EB" w:rsidR="003C31A7" w:rsidRDefault="003C31A7" w:rsidP="00551DAB">
            <w:pPr>
              <w:pStyle w:val="Quote"/>
            </w:pPr>
            <w:r>
              <w:t>Transaction reporting system.</w:t>
            </w:r>
          </w:p>
        </w:tc>
        <w:tc>
          <w:tcPr>
            <w:tcW w:w="1614" w:type="pct"/>
          </w:tcPr>
          <w:p w14:paraId="18FA1DAD" w14:textId="5890785E" w:rsidR="003C31A7" w:rsidRDefault="003C31A7" w:rsidP="00153842">
            <w:pPr>
              <w:pStyle w:val="Quote"/>
            </w:pPr>
          </w:p>
        </w:tc>
      </w:tr>
      <w:tr w:rsidR="003C31A7" w14:paraId="3C135BE1" w14:textId="77777777" w:rsidTr="00AF3B02">
        <w:tc>
          <w:tcPr>
            <w:tcW w:w="1378" w:type="pct"/>
            <w:noWrap/>
          </w:tcPr>
          <w:p w14:paraId="767953C7" w14:textId="49044DCC" w:rsidR="003C31A7" w:rsidRDefault="003C31A7" w:rsidP="00153842">
            <w:pPr>
              <w:pStyle w:val="Quote"/>
            </w:pPr>
            <w:r>
              <w:t>API</w:t>
            </w:r>
          </w:p>
        </w:tc>
        <w:tc>
          <w:tcPr>
            <w:tcW w:w="2008" w:type="pct"/>
          </w:tcPr>
          <w:p w14:paraId="278FFDEB" w14:textId="11B63A46" w:rsidR="003C31A7" w:rsidRDefault="003C31A7" w:rsidP="00551DAB">
            <w:pPr>
              <w:pStyle w:val="Quote"/>
            </w:pPr>
            <w:r>
              <w:t>Online shopping cart plugin.</w:t>
            </w:r>
          </w:p>
        </w:tc>
        <w:tc>
          <w:tcPr>
            <w:tcW w:w="1614" w:type="pct"/>
          </w:tcPr>
          <w:p w14:paraId="5A0CE754" w14:textId="3966A549" w:rsidR="003C31A7" w:rsidRDefault="003C31A7" w:rsidP="00153842">
            <w:pPr>
              <w:pStyle w:val="Quote"/>
            </w:pPr>
          </w:p>
        </w:tc>
      </w:tr>
      <w:tr w:rsidR="00CA3FFE" w14:paraId="3C29FB50" w14:textId="77777777" w:rsidTr="00AF3B02">
        <w:tc>
          <w:tcPr>
            <w:tcW w:w="1378" w:type="pct"/>
            <w:noWrap/>
          </w:tcPr>
          <w:p w14:paraId="6A6262C4" w14:textId="27353A05" w:rsidR="00CA3FFE" w:rsidRDefault="00CA3FFE" w:rsidP="00CA3FFE">
            <w:pPr>
              <w:pStyle w:val="Quote"/>
            </w:pPr>
            <w:r>
              <w:t>Recurring payments</w:t>
            </w:r>
          </w:p>
        </w:tc>
        <w:tc>
          <w:tcPr>
            <w:tcW w:w="2008" w:type="pct"/>
          </w:tcPr>
          <w:p w14:paraId="5B73F98E" w14:textId="3FFF8D89" w:rsidR="00CA3FFE" w:rsidRDefault="00CA3FFE" w:rsidP="00CA3FFE">
            <w:pPr>
              <w:pStyle w:val="Quote"/>
            </w:pPr>
            <w:r>
              <w:t>Merchants are able to set up customers cards for recurring payments.</w:t>
            </w:r>
          </w:p>
        </w:tc>
        <w:tc>
          <w:tcPr>
            <w:tcW w:w="1614" w:type="pct"/>
          </w:tcPr>
          <w:p w14:paraId="0B399C33" w14:textId="30BC94DC" w:rsidR="00CA3FFE" w:rsidRDefault="00CA3FFE" w:rsidP="00CA3FFE">
            <w:pPr>
              <w:pStyle w:val="Quote"/>
            </w:pPr>
          </w:p>
        </w:tc>
      </w:tr>
      <w:tr w:rsidR="00CA3FFE" w14:paraId="60F61E06" w14:textId="77777777" w:rsidTr="00AF3B02">
        <w:tc>
          <w:tcPr>
            <w:tcW w:w="1378" w:type="pct"/>
            <w:noWrap/>
          </w:tcPr>
          <w:p w14:paraId="36DD2232" w14:textId="49CF6B76" w:rsidR="00CA3FFE" w:rsidRDefault="00CA3FFE" w:rsidP="00CA3FFE">
            <w:pPr>
              <w:pStyle w:val="Quote"/>
            </w:pPr>
            <w:r>
              <w:t>Vault</w:t>
            </w:r>
          </w:p>
        </w:tc>
        <w:tc>
          <w:tcPr>
            <w:tcW w:w="2008" w:type="pct"/>
          </w:tcPr>
          <w:p w14:paraId="5C75B227" w14:textId="5C1E3C06" w:rsidR="00CA3FFE" w:rsidRDefault="00CA3FFE" w:rsidP="00CA3FFE">
            <w:pPr>
              <w:pStyle w:val="Quote"/>
            </w:pPr>
            <w:r>
              <w:t>Securely stores card numbers.</w:t>
            </w:r>
          </w:p>
        </w:tc>
        <w:tc>
          <w:tcPr>
            <w:tcW w:w="1614" w:type="pct"/>
          </w:tcPr>
          <w:p w14:paraId="2A4061C7" w14:textId="4DA78401" w:rsidR="00CA3FFE" w:rsidRDefault="00CA3FFE" w:rsidP="00CA3FFE">
            <w:pPr>
              <w:pStyle w:val="Quote"/>
            </w:pPr>
          </w:p>
        </w:tc>
      </w:tr>
      <w:tr w:rsidR="00CA3FFE" w14:paraId="08D788E7" w14:textId="77777777" w:rsidTr="00AF3B02">
        <w:tc>
          <w:tcPr>
            <w:tcW w:w="1378" w:type="pct"/>
            <w:noWrap/>
          </w:tcPr>
          <w:p w14:paraId="5CEAB741" w14:textId="22A53AE2" w:rsidR="00CA3FFE" w:rsidRDefault="00CA3FFE" w:rsidP="00CA3FFE">
            <w:pPr>
              <w:pStyle w:val="Quote"/>
            </w:pPr>
            <w:r>
              <w:t>Text 2 Pay</w:t>
            </w:r>
          </w:p>
        </w:tc>
        <w:tc>
          <w:tcPr>
            <w:tcW w:w="2008" w:type="pct"/>
          </w:tcPr>
          <w:p w14:paraId="338518BF" w14:textId="6342113D" w:rsidR="00CA3FFE" w:rsidRDefault="00CA3FFE" w:rsidP="00CA3FFE">
            <w:pPr>
              <w:pStyle w:val="Quote"/>
            </w:pPr>
            <w:r>
              <w:t>Allows merchants to send payment links via text message.</w:t>
            </w:r>
          </w:p>
        </w:tc>
        <w:tc>
          <w:tcPr>
            <w:tcW w:w="1614" w:type="pct"/>
          </w:tcPr>
          <w:p w14:paraId="141332F4" w14:textId="2E7FEA2A" w:rsidR="00CA3FFE" w:rsidRDefault="00CA3FFE" w:rsidP="00CA3FFE">
            <w:pPr>
              <w:pStyle w:val="Quote"/>
            </w:pPr>
          </w:p>
        </w:tc>
      </w:tr>
      <w:tr w:rsidR="00CA3FFE" w14:paraId="111CA666" w14:textId="77777777" w:rsidTr="00AF3B02">
        <w:tc>
          <w:tcPr>
            <w:tcW w:w="1378" w:type="pct"/>
            <w:noWrap/>
          </w:tcPr>
          <w:p w14:paraId="4FABB665" w14:textId="6A7EFD24" w:rsidR="00CA3FFE" w:rsidRDefault="00CA3FFE" w:rsidP="00CA3FFE">
            <w:pPr>
              <w:pStyle w:val="Quote"/>
            </w:pPr>
            <w:r>
              <w:t>Invoicing</w:t>
            </w:r>
          </w:p>
        </w:tc>
        <w:tc>
          <w:tcPr>
            <w:tcW w:w="2008" w:type="pct"/>
          </w:tcPr>
          <w:p w14:paraId="09812E8A" w14:textId="06403D69" w:rsidR="00CA3FFE" w:rsidRDefault="00CA3FFE" w:rsidP="00CA3FFE">
            <w:pPr>
              <w:pStyle w:val="Quote"/>
            </w:pPr>
            <w:r>
              <w:t>Allows merchants to send “click-to-pay” invoices via email or text.</w:t>
            </w:r>
          </w:p>
        </w:tc>
        <w:tc>
          <w:tcPr>
            <w:tcW w:w="1614" w:type="pct"/>
          </w:tcPr>
          <w:p w14:paraId="3BE3228C" w14:textId="7C4711E4" w:rsidR="00CA3FFE" w:rsidRDefault="00CA3FFE" w:rsidP="00CA3FFE">
            <w:pPr>
              <w:pStyle w:val="Quote"/>
            </w:pPr>
          </w:p>
        </w:tc>
      </w:tr>
      <w:tr w:rsidR="00CA3FFE" w14:paraId="70CADFF9" w14:textId="77777777" w:rsidTr="00AF3B02">
        <w:tc>
          <w:tcPr>
            <w:tcW w:w="1378" w:type="pct"/>
            <w:noWrap/>
          </w:tcPr>
          <w:p w14:paraId="13284F41" w14:textId="101B451F" w:rsidR="00CA3FFE" w:rsidRDefault="00CA3FFE" w:rsidP="00CA3FFE">
            <w:pPr>
              <w:pStyle w:val="Quote"/>
            </w:pPr>
            <w:r>
              <w:t>ACH</w:t>
            </w:r>
          </w:p>
        </w:tc>
        <w:tc>
          <w:tcPr>
            <w:tcW w:w="2008" w:type="pct"/>
          </w:tcPr>
          <w:p w14:paraId="0C752CEF" w14:textId="5B78340F" w:rsidR="00CA3FFE" w:rsidRDefault="00CA3FFE" w:rsidP="00CA3FFE">
            <w:pPr>
              <w:pStyle w:val="Quote"/>
            </w:pPr>
            <w:r>
              <w:t>Allows checks to be processed online, rather than taken to bank for deposit.</w:t>
            </w:r>
          </w:p>
        </w:tc>
        <w:tc>
          <w:tcPr>
            <w:tcW w:w="1614" w:type="pct"/>
          </w:tcPr>
          <w:p w14:paraId="064988C5" w14:textId="4D86405A" w:rsidR="00CA3FFE" w:rsidRDefault="00CA3FFE" w:rsidP="00CA3FFE">
            <w:pPr>
              <w:pStyle w:val="Quote"/>
            </w:pPr>
          </w:p>
        </w:tc>
      </w:tr>
      <w:tr w:rsidR="00CA3FFE" w14:paraId="2D471B3D" w14:textId="77777777" w:rsidTr="00AF3B02">
        <w:tc>
          <w:tcPr>
            <w:tcW w:w="1378" w:type="pct"/>
            <w:noWrap/>
          </w:tcPr>
          <w:p w14:paraId="31FF4C05" w14:textId="14E81A37" w:rsidR="00CA3FFE" w:rsidRDefault="00CA3FFE" w:rsidP="00CA3FFE">
            <w:pPr>
              <w:pStyle w:val="Quote"/>
            </w:pPr>
            <w:r>
              <w:t>Level II B2B</w:t>
            </w:r>
          </w:p>
        </w:tc>
        <w:tc>
          <w:tcPr>
            <w:tcW w:w="2008" w:type="pct"/>
          </w:tcPr>
          <w:p w14:paraId="2A141956" w14:textId="3A332290" w:rsidR="00CA3FFE" w:rsidRDefault="00CA3FFE" w:rsidP="00CA3FFE">
            <w:pPr>
              <w:pStyle w:val="Quote"/>
            </w:pPr>
            <w:r>
              <w:t>Lowers processing fees for merchants running business to business transactions</w:t>
            </w:r>
          </w:p>
        </w:tc>
        <w:tc>
          <w:tcPr>
            <w:tcW w:w="1614" w:type="pct"/>
          </w:tcPr>
          <w:p w14:paraId="601CB096" w14:textId="325FA585" w:rsidR="00CA3FFE" w:rsidRDefault="00CA3FFE" w:rsidP="00CA3FFE">
            <w:pPr>
              <w:pStyle w:val="Quote"/>
            </w:pPr>
          </w:p>
        </w:tc>
      </w:tr>
      <w:tr w:rsidR="00CA3FFE" w14:paraId="1BC06AA9" w14:textId="77777777" w:rsidTr="00AF3B02">
        <w:tc>
          <w:tcPr>
            <w:tcW w:w="1378" w:type="pct"/>
            <w:noWrap/>
          </w:tcPr>
          <w:p w14:paraId="3B845C14" w14:textId="3A857CC0" w:rsidR="00CA3FFE" w:rsidRDefault="00CA3FFE" w:rsidP="00CA3FFE">
            <w:pPr>
              <w:pStyle w:val="Quote"/>
            </w:pPr>
            <w:r>
              <w:lastRenderedPageBreak/>
              <w:t>Level III B2B</w:t>
            </w:r>
          </w:p>
        </w:tc>
        <w:tc>
          <w:tcPr>
            <w:tcW w:w="2008" w:type="pct"/>
          </w:tcPr>
          <w:p w14:paraId="5FCD385D" w14:textId="2881A530" w:rsidR="00CA3FFE" w:rsidRDefault="00CA3FFE" w:rsidP="00CA3FFE">
            <w:pPr>
              <w:pStyle w:val="Quote"/>
            </w:pPr>
            <w:r>
              <w:t>Lowers processing fees even further, for merchants running business to business transactions. Requires data entry from customer.</w:t>
            </w:r>
          </w:p>
        </w:tc>
        <w:tc>
          <w:tcPr>
            <w:tcW w:w="1614" w:type="pct"/>
          </w:tcPr>
          <w:p w14:paraId="5EF84477" w14:textId="1A5DBD94" w:rsidR="00CA3FFE" w:rsidRDefault="00CA3FFE" w:rsidP="00CA3FFE">
            <w:pPr>
              <w:pStyle w:val="Quote"/>
            </w:pPr>
          </w:p>
        </w:tc>
      </w:tr>
      <w:tr w:rsidR="00CA3FFE" w14:paraId="0B661784" w14:textId="77777777" w:rsidTr="00AF3B02">
        <w:tc>
          <w:tcPr>
            <w:tcW w:w="1378" w:type="pct"/>
            <w:noWrap/>
          </w:tcPr>
          <w:p w14:paraId="3FC89229" w14:textId="7ECAFA04" w:rsidR="00CA3FFE" w:rsidRDefault="00CA3FFE" w:rsidP="00CA3FFE">
            <w:pPr>
              <w:pStyle w:val="Quote"/>
            </w:pPr>
            <w:r>
              <w:t>Tap 2 Pay</w:t>
            </w:r>
          </w:p>
        </w:tc>
        <w:tc>
          <w:tcPr>
            <w:tcW w:w="2008" w:type="pct"/>
          </w:tcPr>
          <w:p w14:paraId="0C9C14A7" w14:textId="605E3B31" w:rsidR="00CA3FFE" w:rsidRDefault="00CA3FFE" w:rsidP="00CA3FFE">
            <w:pPr>
              <w:pStyle w:val="Quote"/>
            </w:pPr>
            <w:r>
              <w:t>Allows customers to tap to pay on merchant’s cell phone.</w:t>
            </w:r>
          </w:p>
        </w:tc>
        <w:tc>
          <w:tcPr>
            <w:tcW w:w="1614" w:type="pct"/>
          </w:tcPr>
          <w:p w14:paraId="5AD0F168" w14:textId="193E9D93" w:rsidR="00CA3FFE" w:rsidRPr="00153842" w:rsidRDefault="00CA3FFE" w:rsidP="00CA3FFE">
            <w:pPr>
              <w:pStyle w:val="Quote"/>
            </w:pPr>
          </w:p>
        </w:tc>
      </w:tr>
      <w:tr w:rsidR="00CA3FFE" w14:paraId="72999C96" w14:textId="77777777" w:rsidTr="00AF3B02">
        <w:tc>
          <w:tcPr>
            <w:tcW w:w="1378" w:type="pct"/>
            <w:noWrap/>
          </w:tcPr>
          <w:p w14:paraId="66A0D7DA" w14:textId="72C43C61" w:rsidR="00CA3FFE" w:rsidRDefault="00CA3FFE" w:rsidP="00CA3FFE">
            <w:pPr>
              <w:pStyle w:val="Quote"/>
            </w:pPr>
            <w:r>
              <w:t>Mobile Processing App aka “iProcess”</w:t>
            </w:r>
          </w:p>
        </w:tc>
        <w:tc>
          <w:tcPr>
            <w:tcW w:w="2008" w:type="pct"/>
          </w:tcPr>
          <w:p w14:paraId="4385A92D" w14:textId="216CCDD6" w:rsidR="00CA3FFE" w:rsidRDefault="00CA3FFE" w:rsidP="00CA3FFE">
            <w:pPr>
              <w:pStyle w:val="Quote"/>
            </w:pPr>
            <w:r>
              <w:t>Mobile processing through merchant’s cell phone.</w:t>
            </w:r>
          </w:p>
        </w:tc>
        <w:tc>
          <w:tcPr>
            <w:tcW w:w="1614" w:type="pct"/>
          </w:tcPr>
          <w:p w14:paraId="79B7FB29" w14:textId="122FDCD5" w:rsidR="00CA3FFE" w:rsidRPr="00AF3B02" w:rsidRDefault="00CA3FFE" w:rsidP="00CA3FFE">
            <w:pPr>
              <w:pStyle w:val="Quote"/>
            </w:pPr>
          </w:p>
        </w:tc>
      </w:tr>
      <w:tr w:rsidR="00CA3FFE" w14:paraId="4AFC58FD" w14:textId="77777777" w:rsidTr="00AF3B02">
        <w:tc>
          <w:tcPr>
            <w:tcW w:w="1378" w:type="pct"/>
            <w:noWrap/>
          </w:tcPr>
          <w:p w14:paraId="1CE5B324" w14:textId="04B05A3E" w:rsidR="00CA3FFE" w:rsidRDefault="00CA3FFE" w:rsidP="00CA3FFE">
            <w:pPr>
              <w:pStyle w:val="Quote"/>
            </w:pPr>
            <w:r>
              <w:t>Quickbooks Plugin</w:t>
            </w:r>
          </w:p>
        </w:tc>
        <w:tc>
          <w:tcPr>
            <w:tcW w:w="2008" w:type="pct"/>
          </w:tcPr>
          <w:p w14:paraId="331639DB" w14:textId="0E7F6A6F" w:rsidR="00CA3FFE" w:rsidRDefault="00CA3FFE" w:rsidP="00CA3FFE">
            <w:pPr>
              <w:pStyle w:val="Quote"/>
            </w:pPr>
            <w:r>
              <w:t>Allows merchant’s transactions to flow through to Quickbooks.</w:t>
            </w:r>
          </w:p>
        </w:tc>
        <w:tc>
          <w:tcPr>
            <w:tcW w:w="1614" w:type="pct"/>
          </w:tcPr>
          <w:p w14:paraId="76B64EDD" w14:textId="51379558" w:rsidR="00CA3FFE" w:rsidRDefault="00CA3FFE" w:rsidP="00CA3FFE">
            <w:pPr>
              <w:pStyle w:val="Quote"/>
            </w:pPr>
          </w:p>
        </w:tc>
      </w:tr>
      <w:tr w:rsidR="00E22456" w14:paraId="24D9EA1D" w14:textId="77777777" w:rsidTr="00AF3B02">
        <w:tc>
          <w:tcPr>
            <w:tcW w:w="1378" w:type="pct"/>
            <w:noWrap/>
          </w:tcPr>
          <w:p w14:paraId="0F75C1AA" w14:textId="255FA74C" w:rsidR="00E22456" w:rsidRDefault="00E22456" w:rsidP="00E22456">
            <w:pPr>
              <w:pStyle w:val="Quote"/>
            </w:pPr>
            <w:r>
              <w:t>Inventory</w:t>
            </w:r>
          </w:p>
        </w:tc>
        <w:tc>
          <w:tcPr>
            <w:tcW w:w="2008" w:type="pct"/>
          </w:tcPr>
          <w:p w14:paraId="33934FA1" w14:textId="61A1D1D1" w:rsidR="00E22456" w:rsidRDefault="00E22456" w:rsidP="00E22456">
            <w:pPr>
              <w:pStyle w:val="Quote"/>
            </w:pPr>
            <w:r>
              <w:t>Merchant can store/track inventory.</w:t>
            </w:r>
          </w:p>
        </w:tc>
        <w:tc>
          <w:tcPr>
            <w:tcW w:w="1614" w:type="pct"/>
          </w:tcPr>
          <w:p w14:paraId="3562A829" w14:textId="6F7BADB9" w:rsidR="00E22456" w:rsidRDefault="00E22456" w:rsidP="00E22456">
            <w:pPr>
              <w:pStyle w:val="Quote"/>
            </w:pPr>
          </w:p>
        </w:tc>
      </w:tr>
      <w:tr w:rsidR="00E22456" w14:paraId="34C3D816" w14:textId="77777777" w:rsidTr="00AF3B02">
        <w:tc>
          <w:tcPr>
            <w:tcW w:w="1378" w:type="pct"/>
            <w:noWrap/>
          </w:tcPr>
          <w:p w14:paraId="63437F5E" w14:textId="1C4D0B30" w:rsidR="00E22456" w:rsidRDefault="00E22456" w:rsidP="00E22456">
            <w:pPr>
              <w:pStyle w:val="Quote"/>
            </w:pPr>
            <w:r>
              <w:t>Card Updater</w:t>
            </w:r>
          </w:p>
        </w:tc>
        <w:tc>
          <w:tcPr>
            <w:tcW w:w="2008" w:type="pct"/>
          </w:tcPr>
          <w:p w14:paraId="2F7A1CE1" w14:textId="52B3009C" w:rsidR="00E22456" w:rsidRDefault="00E22456" w:rsidP="00E22456">
            <w:pPr>
              <w:pStyle w:val="Quote"/>
            </w:pPr>
            <w:r>
              <w:t>Automatically updates recurring payment card info with new expiration dates, etc.</w:t>
            </w:r>
          </w:p>
        </w:tc>
        <w:tc>
          <w:tcPr>
            <w:tcW w:w="1614" w:type="pct"/>
          </w:tcPr>
          <w:p w14:paraId="7AB2B482" w14:textId="5C693320" w:rsidR="00E22456" w:rsidRDefault="00E22456" w:rsidP="00E22456">
            <w:pPr>
              <w:pStyle w:val="Quote"/>
            </w:pPr>
          </w:p>
        </w:tc>
      </w:tr>
      <w:tr w:rsidR="00E22456" w14:paraId="49872879" w14:textId="77777777" w:rsidTr="00AF3B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78" w:type="pct"/>
            <w:noWrap/>
          </w:tcPr>
          <w:p w14:paraId="0A1917F0" w14:textId="2DBCAAFF" w:rsidR="00E22456" w:rsidRDefault="00E22456" w:rsidP="00E22456">
            <w:pPr>
              <w:pStyle w:val="Quote"/>
            </w:pPr>
          </w:p>
        </w:tc>
        <w:tc>
          <w:tcPr>
            <w:tcW w:w="2008" w:type="pct"/>
          </w:tcPr>
          <w:p w14:paraId="7FB805F6" w14:textId="39F8BA0D" w:rsidR="00E22456" w:rsidRDefault="00E22456" w:rsidP="00E22456">
            <w:pPr>
              <w:pStyle w:val="Quote"/>
            </w:pPr>
          </w:p>
        </w:tc>
        <w:tc>
          <w:tcPr>
            <w:tcW w:w="1614" w:type="pct"/>
          </w:tcPr>
          <w:p w14:paraId="51C99BE9" w14:textId="16064E28" w:rsidR="00E22456" w:rsidRDefault="00E22456" w:rsidP="00E22456">
            <w:pPr>
              <w:pStyle w:val="Quote"/>
            </w:pPr>
          </w:p>
        </w:tc>
      </w:tr>
    </w:tbl>
    <w:p w14:paraId="65EB4191" w14:textId="77777777" w:rsidR="00002B05" w:rsidRDefault="00002B05" w:rsidP="00002B05"/>
    <w:p w14:paraId="0137A5AA" w14:textId="6FDBA8B1" w:rsidR="001439D1" w:rsidRPr="00002B05" w:rsidRDefault="003E66C6" w:rsidP="00002B05">
      <w:r>
        <w:t xml:space="preserve">  </w:t>
      </w:r>
    </w:p>
    <w:sectPr w:rsidR="001439D1" w:rsidRPr="00002B05" w:rsidSect="00002B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05"/>
    <w:rsid w:val="00002B05"/>
    <w:rsid w:val="000619BF"/>
    <w:rsid w:val="000664DF"/>
    <w:rsid w:val="00090255"/>
    <w:rsid w:val="000A1D6D"/>
    <w:rsid w:val="00142C11"/>
    <w:rsid w:val="001439D1"/>
    <w:rsid w:val="00153842"/>
    <w:rsid w:val="001A6D03"/>
    <w:rsid w:val="00225EF2"/>
    <w:rsid w:val="00265324"/>
    <w:rsid w:val="00356C43"/>
    <w:rsid w:val="003C31A7"/>
    <w:rsid w:val="003E66C6"/>
    <w:rsid w:val="00551DAB"/>
    <w:rsid w:val="00583BFF"/>
    <w:rsid w:val="006B0F90"/>
    <w:rsid w:val="007E102C"/>
    <w:rsid w:val="00804F84"/>
    <w:rsid w:val="00813538"/>
    <w:rsid w:val="00884C3E"/>
    <w:rsid w:val="009D4F12"/>
    <w:rsid w:val="00AF3B02"/>
    <w:rsid w:val="00B32DAA"/>
    <w:rsid w:val="00BC0434"/>
    <w:rsid w:val="00C04EB2"/>
    <w:rsid w:val="00C20DAA"/>
    <w:rsid w:val="00CA3FFE"/>
    <w:rsid w:val="00E22456"/>
    <w:rsid w:val="00E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064B"/>
  <w15:chartTrackingRefBased/>
  <w15:docId w15:val="{0262E83A-3EF7-44BF-8FE5-03037133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02"/>
  </w:style>
  <w:style w:type="paragraph" w:styleId="Heading1">
    <w:name w:val="heading 1"/>
    <w:basedOn w:val="Normal"/>
    <w:next w:val="Normal"/>
    <w:link w:val="Heading1Char"/>
    <w:uiPriority w:val="9"/>
    <w:qFormat/>
    <w:rsid w:val="00AF3B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B02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B02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B02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B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B0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B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B0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B0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B0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B0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B02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B02"/>
  </w:style>
  <w:style w:type="character" w:customStyle="1" w:styleId="Heading7Char">
    <w:name w:val="Heading 7 Char"/>
    <w:basedOn w:val="DefaultParagraphFont"/>
    <w:link w:val="Heading7"/>
    <w:uiPriority w:val="9"/>
    <w:semiHidden/>
    <w:rsid w:val="00AF3B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B02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B0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F3B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B0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B0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3B02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F3B0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B02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B0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B02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F3B02"/>
    <w:rPr>
      <w:b/>
      <w:bCs/>
      <w:smallCaps/>
      <w:color w:val="404040" w:themeColor="text1" w:themeTint="BF"/>
      <w:spacing w:val="5"/>
    </w:rPr>
  </w:style>
  <w:style w:type="paragraph" w:customStyle="1" w:styleId="DecimalAligned">
    <w:name w:val="Decimal Aligned"/>
    <w:basedOn w:val="Normal"/>
    <w:uiPriority w:val="40"/>
    <w:rsid w:val="00002B05"/>
    <w:pPr>
      <w:tabs>
        <w:tab w:val="decimal" w:pos="360"/>
      </w:tabs>
      <w:spacing w:after="200" w:line="276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002B0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2B05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AF3B02"/>
    <w:rPr>
      <w:i/>
      <w:iCs/>
      <w:color w:val="404040" w:themeColor="text1" w:themeTint="BF"/>
    </w:rPr>
  </w:style>
  <w:style w:type="table" w:styleId="MediumShading2-Accent5">
    <w:name w:val="Medium Shading 2 Accent 5"/>
    <w:basedOn w:val="TableNormal"/>
    <w:uiPriority w:val="64"/>
    <w:rsid w:val="00002B0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BookTitle">
    <w:name w:val="Book Title"/>
    <w:basedOn w:val="DefaultParagraphFont"/>
    <w:uiPriority w:val="33"/>
    <w:qFormat/>
    <w:rsid w:val="00AF3B0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3B02"/>
    <w:pPr>
      <w:spacing w:after="200" w:line="240" w:lineRule="auto"/>
    </w:pPr>
    <w:rPr>
      <w:i/>
      <w:iCs/>
      <w:color w:val="39302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AF3B0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F3B02"/>
    <w:rPr>
      <w:i/>
      <w:iCs/>
      <w:color w:val="auto"/>
    </w:rPr>
  </w:style>
  <w:style w:type="paragraph" w:styleId="NoSpacing">
    <w:name w:val="No Spacing"/>
    <w:uiPriority w:val="1"/>
    <w:qFormat/>
    <w:rsid w:val="00AF3B02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AF3B02"/>
    <w:rPr>
      <w:smallCap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3B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3F3F3F"/>
      </a:accent1>
      <a:accent2>
        <a:srgbClr val="F8931D"/>
      </a:accent2>
      <a:accent3>
        <a:srgbClr val="CE8D3E"/>
      </a:accent3>
      <a:accent4>
        <a:srgbClr val="EC7016"/>
      </a:accent4>
      <a:accent5>
        <a:srgbClr val="BA0000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39AE3-2E18-41A7-A745-6F10493B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 Ackerill</dc:creator>
  <cp:keywords/>
  <dc:description/>
  <cp:lastModifiedBy>Sarah  Ackerill</cp:lastModifiedBy>
  <cp:revision>2</cp:revision>
  <cp:lastPrinted>2025-08-07T18:30:00Z</cp:lastPrinted>
  <dcterms:created xsi:type="dcterms:W3CDTF">2025-08-28T21:52:00Z</dcterms:created>
  <dcterms:modified xsi:type="dcterms:W3CDTF">2025-11-18T22:09:00Z</dcterms:modified>
</cp:coreProperties>
</file>